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3139D673" w:rsidR="0090305C" w:rsidRPr="001E7DF9" w:rsidRDefault="0090305C" w:rsidP="0090305C">
      <w:pPr>
        <w:spacing w:line="288" w:lineRule="auto"/>
        <w:jc w:val="both"/>
        <w:rPr>
          <w:b/>
          <w:bCs/>
          <w:color w:val="000000"/>
          <w:sz w:val="16"/>
          <w:szCs w:val="16"/>
        </w:rPr>
      </w:pPr>
      <w:r w:rsidRPr="001E7DF9">
        <w:rPr>
          <w:b/>
          <w:bCs/>
          <w:sz w:val="16"/>
          <w:szCs w:val="16"/>
        </w:rPr>
        <w:t xml:space="preserve">Podpisani plačnik (končni odjemalec), evidentiran v enotnem registru merilnih mest </w:t>
      </w:r>
      <w:r w:rsidR="004F7778">
        <w:rPr>
          <w:b/>
          <w:bCs/>
          <w:sz w:val="16"/>
          <w:szCs w:val="16"/>
        </w:rPr>
        <w:t>distribucijskega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59CCAB17" w14:textId="3C2B2EA4" w:rsidR="00003EFF" w:rsidRPr="001D4EBA" w:rsidRDefault="00003EFF" w:rsidP="00003EFF">
      <w:pPr>
        <w:spacing w:line="288" w:lineRule="auto"/>
        <w:jc w:val="both"/>
        <w:rPr>
          <w:bCs/>
          <w:color w:val="000000"/>
          <w:sz w:val="16"/>
          <w:szCs w:val="16"/>
        </w:rPr>
      </w:pPr>
      <w:r w:rsidRPr="00003EFF">
        <w:rPr>
          <w:bCs/>
          <w:color w:val="000000"/>
          <w:sz w:val="16"/>
          <w:szCs w:val="16"/>
        </w:rPr>
        <w:t>Odjemalci 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Pr="00003EFF">
        <w:rPr>
          <w:bCs/>
          <w:color w:val="000000"/>
          <w:sz w:val="16"/>
          <w:szCs w:val="16"/>
        </w:rPr>
        <w:t xml:space="preserve">. Dogovorjeno obračunsko moč bo za odjemalca enkrat na leto </w:t>
      </w:r>
      <w:r w:rsidR="00392AF9">
        <w:rPr>
          <w:bCs/>
          <w:color w:val="000000"/>
          <w:sz w:val="16"/>
          <w:szCs w:val="16"/>
        </w:rPr>
        <w:t>določilo</w:t>
      </w:r>
      <w:r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Pr="00003EFF">
        <w:rPr>
          <w:bCs/>
          <w:color w:val="000000"/>
          <w:sz w:val="16"/>
          <w:szCs w:val="16"/>
        </w:rPr>
        <w:t>na podlagi zgodovine meritev doseženih 15-</w:t>
      </w:r>
      <w:r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 xml:space="preserve">s skladu z Aktom o metodologiji za obračunavanje omrežnine za </w:t>
      </w:r>
      <w:proofErr w:type="spellStart"/>
      <w:r w:rsidR="00562725" w:rsidRPr="001E7DF9">
        <w:rPr>
          <w:color w:val="000000"/>
          <w:sz w:val="16"/>
          <w:szCs w:val="16"/>
          <w:shd w:val="clear" w:color="auto" w:fill="FFFFFF"/>
        </w:rPr>
        <w:t>elektrooperaterje</w:t>
      </w:r>
      <w:proofErr w:type="spellEnd"/>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hyperlink r:id="rId9" w:anchor="_blank" w:history="1">
        <w:r w:rsidR="00D0239D" w:rsidRPr="001E7DF9">
          <w:rPr>
            <w:color w:val="000000"/>
            <w:sz w:val="16"/>
            <w:szCs w:val="16"/>
            <w:shd w:val="clear" w:color="auto" w:fill="FFFFFF"/>
          </w:rPr>
          <w:t>161/22</w:t>
        </w:r>
      </w:hyperlink>
      <w:r w:rsidR="00D0239D" w:rsidRPr="001E7DF9">
        <w:rPr>
          <w:color w:val="000000"/>
          <w:sz w:val="16"/>
          <w:szCs w:val="16"/>
          <w:shd w:val="clear" w:color="auto" w:fill="FFFFFF"/>
        </w:rPr>
        <w:t> </w:t>
      </w:r>
      <w:hyperlink r:id="rId10" w:anchor="_blank" w:history="1">
        <w:r w:rsidR="00D0239D" w:rsidRPr="001E7DF9">
          <w:rPr>
            <w:color w:val="000000"/>
            <w:sz w:val="16"/>
            <w:szCs w:val="16"/>
            <w:shd w:val="clear" w:color="auto" w:fill="FFFFFF"/>
          </w:rPr>
          <w:t>50/23</w:t>
        </w:r>
      </w:hyperlink>
      <w:r w:rsidR="00D0239D" w:rsidRPr="001E7DF9">
        <w:rPr>
          <w:color w:val="000000"/>
          <w:sz w:val="16"/>
          <w:szCs w:val="16"/>
          <w:shd w:val="clear" w:color="auto" w:fill="FFFFFF"/>
        </w:rPr>
        <w:t> </w:t>
      </w:r>
      <w:hyperlink r:id="rId11" w:anchor="_blank" w:history="1">
        <w:r w:rsidR="00D0239D" w:rsidRPr="001E7DF9">
          <w:rPr>
            <w:color w:val="000000"/>
            <w:sz w:val="16"/>
            <w:szCs w:val="16"/>
            <w:shd w:val="clear" w:color="auto" w:fill="FFFFFF"/>
          </w:rPr>
          <w:t>71/23</w:t>
        </w:r>
      </w:hyperlink>
      <w:r w:rsidR="00D0239D" w:rsidRPr="001E7DF9">
        <w:rPr>
          <w:color w:val="000000"/>
          <w:sz w:val="16"/>
          <w:szCs w:val="16"/>
          <w:shd w:val="clear" w:color="auto" w:fill="FFFFFF"/>
        </w:rPr>
        <w:t> </w:t>
      </w:r>
      <w:hyperlink r:id="rId12" w:anchor="_blank" w:history="1">
        <w:r w:rsidR="00D0239D" w:rsidRPr="001E7DF9">
          <w:rPr>
            <w:color w:val="000000"/>
            <w:sz w:val="16"/>
            <w:szCs w:val="16"/>
            <w:shd w:val="clear" w:color="auto" w:fill="FFFFFF"/>
          </w:rPr>
          <w:t>117/23</w:t>
        </w:r>
      </w:hyperlink>
      <w:r w:rsidR="00D0239D" w:rsidRPr="001E7DF9">
        <w:rPr>
          <w:color w:val="000000"/>
          <w:sz w:val="16"/>
          <w:szCs w:val="16"/>
          <w:shd w:val="clear" w:color="auto" w:fill="FFFFFF"/>
        </w:rPr>
        <w:t> </w:t>
      </w:r>
      <w:hyperlink r:id="rId13" w:anchor="_blank" w:history="1">
        <w:r w:rsidR="00D0239D" w:rsidRPr="001E7DF9">
          <w:rPr>
            <w:color w:val="000000"/>
            <w:sz w:val="16"/>
            <w:szCs w:val="16"/>
            <w:shd w:val="clear" w:color="auto" w:fill="FFFFFF"/>
          </w:rPr>
          <w:t>5/24</w:t>
        </w:r>
      </w:hyperlink>
      <w:r w:rsidR="00D0239D" w:rsidRPr="001E7DF9">
        <w:rPr>
          <w:color w:val="000000"/>
          <w:sz w:val="16"/>
          <w:szCs w:val="16"/>
          <w:shd w:val="clear" w:color="auto" w:fill="FFFFFF"/>
        </w:rPr>
        <w:t> </w:t>
      </w:r>
      <w:hyperlink r:id="rId14" w:anchor="_blank" w:history="1">
        <w:r w:rsidR="00D0239D" w:rsidRPr="001E7DF9">
          <w:rPr>
            <w:color w:val="000000"/>
            <w:sz w:val="16"/>
            <w:szCs w:val="16"/>
            <w:shd w:val="clear" w:color="auto" w:fill="FFFFFF"/>
          </w:rPr>
          <w:t>30/24</w:t>
        </w:r>
      </w:hyperlink>
      <w:r w:rsidR="00D0239D" w:rsidRPr="001E7DF9">
        <w:rPr>
          <w:color w:val="000000"/>
          <w:sz w:val="16"/>
          <w:szCs w:val="16"/>
          <w:shd w:val="clear" w:color="auto" w:fill="FFFFFF"/>
        </w:rPr>
        <w:t> </w:t>
      </w:r>
      <w:hyperlink r:id="rId15" w:anchor="_blank" w:history="1">
        <w:r w:rsidR="00D0239D" w:rsidRPr="001E7DF9">
          <w:rPr>
            <w:color w:val="000000"/>
            <w:sz w:val="16"/>
            <w:szCs w:val="16"/>
            <w:shd w:val="clear" w:color="auto" w:fill="FFFFFF"/>
          </w:rPr>
          <w:t>49/24</w:t>
        </w:r>
      </w:hyperlink>
      <w:r w:rsidR="00D0239D" w:rsidRPr="001E7DF9">
        <w:rPr>
          <w:color w:val="000000"/>
          <w:sz w:val="16"/>
          <w:szCs w:val="16"/>
          <w:shd w:val="clear" w:color="auto" w:fill="FFFFFF"/>
        </w:rPr>
        <w:t>)</w:t>
      </w:r>
      <w:r w:rsidR="00392AF9" w:rsidRPr="001E7DF9">
        <w:rPr>
          <w:color w:val="000000"/>
          <w:sz w:val="16"/>
          <w:szCs w:val="16"/>
          <w:shd w:val="clear" w:color="auto" w:fill="FFFFFF"/>
        </w:rPr>
        <w:t>.</w:t>
      </w:r>
    </w:p>
    <w:p w14:paraId="75687710" w14:textId="3F399F59" w:rsidR="00003EFF" w:rsidRDefault="00003EFF" w:rsidP="00003EFF">
      <w:pPr>
        <w:spacing w:line="288" w:lineRule="auto"/>
        <w:jc w:val="both"/>
        <w:rPr>
          <w:bCs/>
          <w:color w:val="000000"/>
          <w:sz w:val="16"/>
          <w:szCs w:val="16"/>
        </w:rPr>
      </w:pPr>
      <w:r w:rsidRPr="00003EFF">
        <w:rPr>
          <w:bCs/>
          <w:color w:val="000000"/>
          <w:sz w:val="16"/>
          <w:szCs w:val="16"/>
        </w:rPr>
        <w:t>Sprememba dogovorjene obračunske moči s strani odjemalca je smiselna, če se spremenijo njegove navade in s tem poraba električne energije ali če se odjemalec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w:t>
      </w:r>
      <w:r w:rsidR="001D4EBA">
        <w:rPr>
          <w:bCs/>
          <w:color w:val="000000"/>
          <w:sz w:val="16"/>
          <w:szCs w:val="16"/>
        </w:rPr>
        <w:t xml:space="preserve"> Prav tako je potrebno upoštevati, da dogovorjena moč ne </w:t>
      </w:r>
      <w:r w:rsidR="00A652BC">
        <w:rPr>
          <w:bCs/>
          <w:color w:val="000000"/>
          <w:sz w:val="16"/>
          <w:szCs w:val="16"/>
        </w:rPr>
        <w:t>sme</w:t>
      </w:r>
      <w:r w:rsidR="001D4EBA">
        <w:rPr>
          <w:bCs/>
          <w:color w:val="000000"/>
          <w:sz w:val="16"/>
          <w:szCs w:val="16"/>
        </w:rPr>
        <w:t xml:space="preserve"> biti višja od priključne moči</w:t>
      </w:r>
      <w:r w:rsidR="00A652BC">
        <w:rPr>
          <w:bCs/>
          <w:color w:val="000000"/>
          <w:sz w:val="16"/>
          <w:szCs w:val="16"/>
        </w:rPr>
        <w:t xml:space="preserve"> iz veljavnega Soglasja za priključitev</w:t>
      </w:r>
      <w:r w:rsidR="001D4EBA">
        <w:rPr>
          <w:bCs/>
          <w:color w:val="000000"/>
          <w:sz w:val="16"/>
          <w:szCs w:val="16"/>
        </w:rPr>
        <w:t xml:space="preserve"> ter pravilo minimalne moči. </w:t>
      </w:r>
    </w:p>
    <w:p w14:paraId="53DB112E" w14:textId="77777777" w:rsidR="00A652BC" w:rsidRPr="001E7DF9" w:rsidRDefault="00A652BC" w:rsidP="00003EFF">
      <w:pPr>
        <w:spacing w:line="288" w:lineRule="auto"/>
        <w:jc w:val="both"/>
        <w:rPr>
          <w:sz w:val="16"/>
          <w:szCs w:val="16"/>
        </w:rPr>
      </w:pPr>
      <w:r w:rsidRPr="001E7DF9">
        <w:rPr>
          <w:sz w:val="16"/>
          <w:szCs w:val="16"/>
        </w:rPr>
        <w:t xml:space="preserve">Za merilna mesta s priključno močjo manjšo ali enako 43 kW tako velja, da se dogovorjena obračunska moč določi za posamezen časovni blok kot povprečje treh konic posameznega časovnega bloka v obdobju zadnje višje sezone pred določitvijo dogovorjene obračunske moči, pri čemer je potrebno upoštevati minimalne dogovorjene moči za časovni blok 1, in sicer: </w:t>
      </w:r>
    </w:p>
    <w:p w14:paraId="4CCC8DB1" w14:textId="5E6495FE" w:rsidR="00A652BC" w:rsidRPr="001E7DF9" w:rsidRDefault="00A652BC" w:rsidP="00003EFF">
      <w:pPr>
        <w:spacing w:line="288" w:lineRule="auto"/>
        <w:jc w:val="both"/>
        <w:rPr>
          <w:sz w:val="16"/>
          <w:szCs w:val="16"/>
        </w:rPr>
      </w:pPr>
      <w:r w:rsidRPr="001E7DF9">
        <w:rPr>
          <w:sz w:val="16"/>
          <w:szCs w:val="16"/>
        </w:rPr>
        <w:t xml:space="preserve">• za enofazni priključek kot 31 % priključne moči, vendar ne manj kot 2 kW; </w:t>
      </w:r>
    </w:p>
    <w:p w14:paraId="23EF30CA" w14:textId="77777777" w:rsidR="00A652BC" w:rsidRPr="001E7DF9" w:rsidRDefault="00A652BC" w:rsidP="00003EFF">
      <w:pPr>
        <w:spacing w:line="288" w:lineRule="auto"/>
        <w:jc w:val="both"/>
        <w:rPr>
          <w:sz w:val="16"/>
          <w:szCs w:val="16"/>
        </w:rPr>
      </w:pPr>
      <w:r w:rsidRPr="001E7DF9">
        <w:rPr>
          <w:sz w:val="16"/>
          <w:szCs w:val="16"/>
        </w:rPr>
        <w:t xml:space="preserve">• za trifazne priključke kot 27 % priključne moči, vendar ne manj kot 3,5 kW za uporabnike sistema s priključno močjo do vključno 17 kW; </w:t>
      </w:r>
    </w:p>
    <w:p w14:paraId="6DD8E9A6" w14:textId="2A2F7B98" w:rsidR="00A652BC" w:rsidRPr="001E7DF9" w:rsidRDefault="00A652BC" w:rsidP="00003EFF">
      <w:pPr>
        <w:spacing w:line="288" w:lineRule="auto"/>
        <w:jc w:val="both"/>
        <w:rPr>
          <w:sz w:val="16"/>
          <w:szCs w:val="16"/>
        </w:rPr>
      </w:pPr>
      <w:r w:rsidRPr="001E7DF9">
        <w:rPr>
          <w:sz w:val="16"/>
          <w:szCs w:val="16"/>
        </w:rPr>
        <w:t>• za trifazne priključke kot 34 % priključne moči za uporabnike s priključno močjo nad 17 kW;</w:t>
      </w:r>
    </w:p>
    <w:p w14:paraId="28E07AAA" w14:textId="400A5324" w:rsidR="00A652BC" w:rsidRDefault="00A652BC" w:rsidP="00003EFF">
      <w:pPr>
        <w:spacing w:line="288" w:lineRule="auto"/>
        <w:jc w:val="both"/>
        <w:rPr>
          <w:sz w:val="16"/>
          <w:szCs w:val="16"/>
        </w:rPr>
      </w:pPr>
      <w:r w:rsidRPr="001E7DF9">
        <w:rPr>
          <w:sz w:val="16"/>
          <w:szCs w:val="16"/>
        </w:rPr>
        <w:t xml:space="preserve">Dogovorjena obračunska moč za merilna mesta s priključno močjo nad 43 kW se določi za posamezni časovni blok na podlagi uporabnikovih doseženih 15-minutnih moči posameznega časovnega bloka z zadnjih 12 mesecih pred določitvijo dogovorjene obračunske moči, pri čemer je potrebno upoštevati minimalno dogovorjeno moč za časovni blok 1, in sicer </w:t>
      </w:r>
      <w:r w:rsidR="00175423">
        <w:rPr>
          <w:sz w:val="16"/>
          <w:szCs w:val="16"/>
        </w:rPr>
        <w:t>1</w:t>
      </w:r>
      <w:r w:rsidRPr="001E7DF9">
        <w:rPr>
          <w:sz w:val="16"/>
          <w:szCs w:val="16"/>
        </w:rPr>
        <w:t xml:space="preserve">5 % priključne moči. </w:t>
      </w:r>
    </w:p>
    <w:p w14:paraId="545D02D0" w14:textId="3559838B" w:rsidR="001C3216" w:rsidRPr="001E7DF9" w:rsidRDefault="00AD2A20" w:rsidP="00003EFF">
      <w:pPr>
        <w:spacing w:line="288" w:lineRule="auto"/>
        <w:jc w:val="both"/>
        <w:rPr>
          <w:sz w:val="16"/>
          <w:szCs w:val="16"/>
        </w:rPr>
      </w:pPr>
      <w:r w:rsidRPr="001E7DF9">
        <w:rPr>
          <w:sz w:val="16"/>
          <w:szCs w:val="16"/>
        </w:rPr>
        <w:t xml:space="preserve">Sprememba dogovorjene obračunske moči se lahko zahteva za obdobje najmanj enega koledarskega meseca, in sicer samo vnaprej od prvega dne v naslednjem mesecu, če je bila zahteva oddana do vključno </w:t>
      </w:r>
      <w:r w:rsidR="00EC4900">
        <w:rPr>
          <w:sz w:val="16"/>
          <w:szCs w:val="16"/>
        </w:rPr>
        <w:t>petnajstega</w:t>
      </w:r>
      <w:r w:rsidRPr="001E7DF9">
        <w:rPr>
          <w:sz w:val="16"/>
          <w:szCs w:val="16"/>
        </w:rPr>
        <w:t xml:space="preserve"> dne v mesecu. Sprememba dogovorjene obračunske moči je brezplačna.</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93FF9AE" w:rsidR="00065250" w:rsidRPr="00F67038" w:rsidRDefault="00125B28" w:rsidP="00206CA3">
            <w:pPr>
              <w:rPr>
                <w:sz w:val="16"/>
                <w:szCs w:val="16"/>
              </w:rPr>
            </w:pPr>
            <w:r>
              <w:rPr>
                <w:sz w:val="16"/>
                <w:szCs w:val="16"/>
              </w:rPr>
              <w:t xml:space="preserve">Izvajalec nalog </w:t>
            </w:r>
            <w:r w:rsidR="004F7778">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4B7EDCC9"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r w:rsidR="00535387">
              <w:rPr>
                <w:i/>
                <w:sz w:val="16"/>
                <w:szCs w:val="16"/>
              </w:rPr>
              <w:t xml:space="preserve">    Kontaktna tel. Številka: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0287AF15" w14:textId="313BCBC0" w:rsidR="0090305C" w:rsidRPr="00847FDF" w:rsidRDefault="00024E1F" w:rsidP="00BA2A4D">
            <w:pPr>
              <w:rPr>
                <w:i/>
                <w:sz w:val="16"/>
                <w:szCs w:val="16"/>
              </w:rPr>
            </w:pPr>
            <w:r>
              <w:rPr>
                <w:i/>
                <w:sz w:val="16"/>
                <w:szCs w:val="16"/>
              </w:rPr>
              <w:t>*</w:t>
            </w:r>
            <w:r w:rsidRPr="00024E1F">
              <w:rPr>
                <w:i/>
                <w:sz w:val="16"/>
                <w:szCs w:val="16"/>
              </w:rPr>
              <w:t>Naslov stalnega prebivališča plačnika ali sedež podjetja za pravne osebe.</w:t>
            </w: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00A26159" w14:textId="27009946" w:rsidR="001C3216" w:rsidRDefault="004F7778" w:rsidP="004F7778">
      <w:pPr>
        <w:jc w:val="both"/>
        <w:rPr>
          <w:i/>
          <w:iCs/>
          <w:sz w:val="14"/>
          <w:szCs w:val="14"/>
        </w:rPr>
      </w:pPr>
      <w:r w:rsidRPr="004F7778">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1C7F3791" w14:textId="77777777" w:rsidR="004F7778" w:rsidRDefault="004F7778" w:rsidP="001C3216">
      <w:pPr>
        <w:rPr>
          <w:i/>
          <w:iCs/>
          <w:sz w:val="14"/>
          <w:szCs w:val="14"/>
        </w:rPr>
      </w:pPr>
    </w:p>
    <w:p w14:paraId="38473211" w14:textId="77777777" w:rsidR="001C3216" w:rsidRDefault="001C3216" w:rsidP="00003EFF">
      <w:pPr>
        <w:jc w:val="both"/>
        <w:rPr>
          <w:sz w:val="16"/>
          <w:szCs w:val="16"/>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16"/>
      <w:footerReference w:type="default" r:id="rId17"/>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73130"/>
    <w:rsid w:val="00175423"/>
    <w:rsid w:val="001778FC"/>
    <w:rsid w:val="001830A2"/>
    <w:rsid w:val="00184B5F"/>
    <w:rsid w:val="00187EBC"/>
    <w:rsid w:val="001A4E53"/>
    <w:rsid w:val="001A4E85"/>
    <w:rsid w:val="001A7E3A"/>
    <w:rsid w:val="001B007F"/>
    <w:rsid w:val="001B25D7"/>
    <w:rsid w:val="001B3785"/>
    <w:rsid w:val="001C2BB2"/>
    <w:rsid w:val="001C3216"/>
    <w:rsid w:val="001D4EBA"/>
    <w:rsid w:val="001D66D0"/>
    <w:rsid w:val="001E7DF9"/>
    <w:rsid w:val="001F23A8"/>
    <w:rsid w:val="002171F1"/>
    <w:rsid w:val="002210D2"/>
    <w:rsid w:val="002377D0"/>
    <w:rsid w:val="00251FEC"/>
    <w:rsid w:val="002643BD"/>
    <w:rsid w:val="00271378"/>
    <w:rsid w:val="002731AB"/>
    <w:rsid w:val="00273CAF"/>
    <w:rsid w:val="00294619"/>
    <w:rsid w:val="00295088"/>
    <w:rsid w:val="00295C2E"/>
    <w:rsid w:val="002A1D79"/>
    <w:rsid w:val="002B3820"/>
    <w:rsid w:val="002B5C51"/>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17BF"/>
    <w:rsid w:val="004A7F65"/>
    <w:rsid w:val="004B3E16"/>
    <w:rsid w:val="004C5551"/>
    <w:rsid w:val="004D54BB"/>
    <w:rsid w:val="004D7D16"/>
    <w:rsid w:val="004E113A"/>
    <w:rsid w:val="004E1995"/>
    <w:rsid w:val="004F7778"/>
    <w:rsid w:val="00515540"/>
    <w:rsid w:val="00517FA2"/>
    <w:rsid w:val="00525734"/>
    <w:rsid w:val="00532DF8"/>
    <w:rsid w:val="00535387"/>
    <w:rsid w:val="00545A7F"/>
    <w:rsid w:val="005518C9"/>
    <w:rsid w:val="005549D6"/>
    <w:rsid w:val="0056026C"/>
    <w:rsid w:val="00561DFC"/>
    <w:rsid w:val="00562725"/>
    <w:rsid w:val="0058590D"/>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2410E"/>
    <w:rsid w:val="00632DB4"/>
    <w:rsid w:val="006332B4"/>
    <w:rsid w:val="00633377"/>
    <w:rsid w:val="00634CC6"/>
    <w:rsid w:val="00640790"/>
    <w:rsid w:val="0064630E"/>
    <w:rsid w:val="00656D7B"/>
    <w:rsid w:val="00685FD9"/>
    <w:rsid w:val="00686805"/>
    <w:rsid w:val="006904FB"/>
    <w:rsid w:val="0069187F"/>
    <w:rsid w:val="006A25FF"/>
    <w:rsid w:val="006A3F32"/>
    <w:rsid w:val="006A72FB"/>
    <w:rsid w:val="006A7CCE"/>
    <w:rsid w:val="006C1F43"/>
    <w:rsid w:val="006C2137"/>
    <w:rsid w:val="006D78BA"/>
    <w:rsid w:val="006E21C6"/>
    <w:rsid w:val="006E4A71"/>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0B8B"/>
    <w:rsid w:val="00BB65AF"/>
    <w:rsid w:val="00BC6B86"/>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13" Type="http://schemas.openxmlformats.org/officeDocument/2006/relationships/hyperlink" Target="https://www.uradni-list.si/1/objava.jsp?sop=2024-01-01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1/objava.jsp?sop=2023-01-34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1/objava.jsp?sop=2023-01-2225" TargetMode="External"/><Relationship Id="rId5" Type="http://schemas.openxmlformats.org/officeDocument/2006/relationships/webSettings" Target="webSettings.xml"/><Relationship Id="rId15" Type="http://schemas.openxmlformats.org/officeDocument/2006/relationships/hyperlink" Target="https://www.uradni-list.si/1/objava.jsp?sop=2024-01-1672" TargetMode="External"/><Relationship Id="rId10" Type="http://schemas.openxmlformats.org/officeDocument/2006/relationships/hyperlink" Target="https://www.uradni-list.si/1/objava.jsp?sop=2023-01-15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radni-list.si/1/objava.jsp?sop=2022-01-4106" TargetMode="External"/><Relationship Id="rId14" Type="http://schemas.openxmlformats.org/officeDocument/2006/relationships/hyperlink" Target="https://www.uradni-list.si/1/objava.jsp?sop=2024-01-084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751</Words>
  <Characters>5558</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9</cp:revision>
  <cp:lastPrinted>2017-05-19T06:53:00Z</cp:lastPrinted>
  <dcterms:created xsi:type="dcterms:W3CDTF">2024-10-08T05:54:00Z</dcterms:created>
  <dcterms:modified xsi:type="dcterms:W3CDTF">2025-06-11T08:20:00Z</dcterms:modified>
</cp:coreProperties>
</file>